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5AEAB" w14:textId="77777777" w:rsidR="00A11564" w:rsidRDefault="00C05501" w:rsidP="00A11564">
      <w:pPr>
        <w:spacing w:before="1440" w:after="240"/>
        <w:jc w:val="center"/>
      </w:pPr>
      <w:bookmarkStart w:id="0" w:name="_GoBack"/>
      <w:bookmarkEnd w:id="0"/>
      <w:r w:rsidRPr="00102D67">
        <w:t>NOT HUMAN RESEARCH DETERMINATION</w:t>
      </w:r>
    </w:p>
    <w:p w14:paraId="613AD3C6" w14:textId="7EF4A894" w:rsidR="00B0602E" w:rsidRPr="00102D67" w:rsidRDefault="003C21C8" w:rsidP="00B0602E">
      <w:r>
        <w:t>July 1, 2019</w:t>
      </w:r>
    </w:p>
    <w:p w14:paraId="28DB444C" w14:textId="77777777" w:rsidR="000A493A" w:rsidRPr="00102D67" w:rsidRDefault="000A493A">
      <w:pPr>
        <w:sectPr w:rsidR="000A493A" w:rsidRPr="00102D6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7ED7EAA0" w14:textId="77777777" w:rsidR="00496191" w:rsidRPr="00102D67" w:rsidRDefault="00496191"/>
    <w:p w14:paraId="3C510638" w14:textId="77777777" w:rsidR="00B0602E" w:rsidRPr="00102D67" w:rsidRDefault="00931357" w:rsidP="00B0602E">
      <w:pPr>
        <w:rPr>
          <w:i/>
        </w:rPr>
      </w:pPr>
      <w:r w:rsidRPr="00102D67">
        <w:rPr>
          <w:i/>
        </w:rPr>
        <w:t>&lt;Name of Principal Investigator&gt;</w:t>
      </w:r>
    </w:p>
    <w:p w14:paraId="0B686332" w14:textId="77777777" w:rsidR="00931357" w:rsidRPr="00102D67" w:rsidRDefault="00931357" w:rsidP="00B0602E">
      <w:pPr>
        <w:rPr>
          <w:i/>
        </w:rPr>
      </w:pPr>
      <w:r w:rsidRPr="00102D67">
        <w:rPr>
          <w:i/>
        </w:rPr>
        <w:t>&lt;Address of Principal Investigator&gt;</w:t>
      </w:r>
    </w:p>
    <w:p w14:paraId="3EB22844" w14:textId="77777777" w:rsidR="00931357" w:rsidRPr="00102D67" w:rsidRDefault="00931357" w:rsidP="00931357">
      <w:pPr>
        <w:rPr>
          <w:i/>
        </w:rPr>
      </w:pPr>
      <w:r w:rsidRPr="00102D67">
        <w:rPr>
          <w:i/>
        </w:rPr>
        <w:t>&lt;Phone Number of Principal Investigator&gt;</w:t>
      </w:r>
    </w:p>
    <w:p w14:paraId="53BF8DE5" w14:textId="77777777" w:rsidR="00931357" w:rsidRPr="00102D67" w:rsidRDefault="00931357" w:rsidP="00931357">
      <w:pPr>
        <w:rPr>
          <w:i/>
        </w:rPr>
      </w:pPr>
      <w:r w:rsidRPr="00102D67">
        <w:rPr>
          <w:i/>
        </w:rPr>
        <w:t>&lt;Fax Number of Principal Investigator&gt;</w:t>
      </w:r>
    </w:p>
    <w:p w14:paraId="76B3782F" w14:textId="77777777" w:rsidR="00A11564" w:rsidRDefault="00931357" w:rsidP="00A11564">
      <w:pPr>
        <w:spacing w:after="240"/>
        <w:rPr>
          <w:i/>
        </w:rPr>
      </w:pPr>
      <w:r w:rsidRPr="00102D67">
        <w:rPr>
          <w:i/>
        </w:rPr>
        <w:t>&lt;</w:t>
      </w:r>
      <w:r w:rsidR="00F44E9F" w:rsidRPr="00102D67">
        <w:rPr>
          <w:i/>
        </w:rPr>
        <w:t>Email Address</w:t>
      </w:r>
      <w:r w:rsidRPr="00102D67">
        <w:rPr>
          <w:i/>
        </w:rPr>
        <w:t xml:space="preserve"> of Principal Investigator&gt;</w:t>
      </w:r>
    </w:p>
    <w:p w14:paraId="5E1695CA" w14:textId="77777777" w:rsidR="00A11564" w:rsidRDefault="00DC5431" w:rsidP="00A11564">
      <w:pPr>
        <w:spacing w:after="240"/>
      </w:pPr>
      <w:r w:rsidRPr="00102D67">
        <w:t xml:space="preserve">Dear </w:t>
      </w:r>
      <w:r w:rsidR="00931357" w:rsidRPr="00102D67">
        <w:rPr>
          <w:i/>
        </w:rPr>
        <w:t>&lt;Hailing of Principal Investigator&gt;</w:t>
      </w:r>
      <w:r w:rsidRPr="00102D67">
        <w:t>:</w:t>
      </w:r>
    </w:p>
    <w:p w14:paraId="237D43D2" w14:textId="77777777" w:rsidR="00C45A87" w:rsidRDefault="00A11564" w:rsidP="00A11564">
      <w:pPr>
        <w:spacing w:after="240"/>
      </w:pPr>
      <w:r>
        <w:t>On &lt;Review Date&gt; the IRB reviewed the following protocol:</w:t>
      </w:r>
    </w:p>
    <w:tbl>
      <w:tblPr>
        <w:tblW w:w="819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5485"/>
      </w:tblGrid>
      <w:tr w:rsidR="00EE4DDD" w:rsidRPr="0089068B" w14:paraId="1B160E73" w14:textId="77777777" w:rsidTr="006057F7">
        <w:tc>
          <w:tcPr>
            <w:tcW w:w="2705" w:type="dxa"/>
          </w:tcPr>
          <w:p w14:paraId="179F962D" w14:textId="77777777" w:rsidR="00EE4DDD" w:rsidRPr="0089068B" w:rsidRDefault="00EE4DDD" w:rsidP="00D72951">
            <w:pPr>
              <w:keepNext/>
              <w:jc w:val="right"/>
            </w:pPr>
            <w:r w:rsidRPr="0089068B">
              <w:t>Type of Review:</w:t>
            </w:r>
          </w:p>
        </w:tc>
        <w:tc>
          <w:tcPr>
            <w:tcW w:w="5485" w:type="dxa"/>
          </w:tcPr>
          <w:p w14:paraId="6050E961" w14:textId="77777777" w:rsidR="00EE4DDD" w:rsidRPr="0089068B" w:rsidRDefault="00EE4DDD" w:rsidP="00D72951">
            <w:pPr>
              <w:keepNext/>
              <w:rPr>
                <w:i/>
              </w:rPr>
            </w:pPr>
            <w:r w:rsidRPr="0089068B">
              <w:rPr>
                <w:i/>
              </w:rPr>
              <w:t>&lt;Indicate Initial, Continuing, or Modification&gt;</w:t>
            </w:r>
          </w:p>
        </w:tc>
      </w:tr>
      <w:tr w:rsidR="00EE4DDD" w:rsidRPr="0089068B" w14:paraId="44BDA53A" w14:textId="77777777" w:rsidTr="00D72951">
        <w:tc>
          <w:tcPr>
            <w:tcW w:w="2736" w:type="dxa"/>
          </w:tcPr>
          <w:p w14:paraId="38350DF2" w14:textId="77777777" w:rsidR="00EE4DDD" w:rsidRPr="0089068B" w:rsidRDefault="00CA18A9" w:rsidP="00D72951">
            <w:pPr>
              <w:keepNext/>
              <w:jc w:val="right"/>
            </w:pPr>
            <w:r>
              <w:t>Title:</w:t>
            </w:r>
          </w:p>
        </w:tc>
        <w:tc>
          <w:tcPr>
            <w:tcW w:w="5580" w:type="dxa"/>
          </w:tcPr>
          <w:p w14:paraId="6664D148" w14:textId="77777777" w:rsidR="00EE4DDD" w:rsidRPr="0089068B" w:rsidRDefault="00EE4DDD" w:rsidP="00D72951">
            <w:pPr>
              <w:keepNext/>
            </w:pPr>
          </w:p>
        </w:tc>
      </w:tr>
      <w:tr w:rsidR="00EE4DDD" w:rsidRPr="0089068B" w14:paraId="37D1DF54" w14:textId="77777777" w:rsidTr="00D72951">
        <w:tc>
          <w:tcPr>
            <w:tcW w:w="2736" w:type="dxa"/>
          </w:tcPr>
          <w:p w14:paraId="3A787564" w14:textId="77777777" w:rsidR="00EE4DDD" w:rsidRPr="0089068B" w:rsidRDefault="00EE4DDD" w:rsidP="00D72951">
            <w:pPr>
              <w:keepNext/>
              <w:jc w:val="right"/>
            </w:pPr>
            <w:r w:rsidRPr="0089068B">
              <w:t>Investigator:</w:t>
            </w:r>
          </w:p>
        </w:tc>
        <w:tc>
          <w:tcPr>
            <w:tcW w:w="5580" w:type="dxa"/>
          </w:tcPr>
          <w:p w14:paraId="3A3C5692" w14:textId="77777777" w:rsidR="00EE4DDD" w:rsidRPr="0089068B" w:rsidRDefault="00EE4DDD" w:rsidP="00D72951">
            <w:pPr>
              <w:keepNext/>
            </w:pPr>
          </w:p>
        </w:tc>
      </w:tr>
      <w:tr w:rsidR="00EE4DDD" w:rsidRPr="0089068B" w14:paraId="40830ADA" w14:textId="77777777" w:rsidTr="00D72951">
        <w:tc>
          <w:tcPr>
            <w:tcW w:w="2736" w:type="dxa"/>
          </w:tcPr>
          <w:p w14:paraId="09716D84" w14:textId="77777777" w:rsidR="00EE4DDD" w:rsidRPr="0089068B" w:rsidRDefault="00EE4DDD" w:rsidP="00D72951">
            <w:pPr>
              <w:keepNext/>
              <w:jc w:val="right"/>
            </w:pPr>
            <w:r w:rsidRPr="0089068B">
              <w:t>IRB ID:</w:t>
            </w:r>
          </w:p>
        </w:tc>
        <w:tc>
          <w:tcPr>
            <w:tcW w:w="5580" w:type="dxa"/>
          </w:tcPr>
          <w:p w14:paraId="5F8305D1" w14:textId="77777777" w:rsidR="00EE4DDD" w:rsidRPr="0089068B" w:rsidRDefault="00EE4DDD" w:rsidP="00D72951">
            <w:pPr>
              <w:keepNext/>
            </w:pPr>
          </w:p>
        </w:tc>
      </w:tr>
      <w:tr w:rsidR="006057F7" w:rsidRPr="0089068B" w14:paraId="5FCC319F" w14:textId="77777777" w:rsidTr="00D72951">
        <w:tc>
          <w:tcPr>
            <w:tcW w:w="2736" w:type="dxa"/>
          </w:tcPr>
          <w:p w14:paraId="7E44248F" w14:textId="77777777" w:rsidR="006057F7" w:rsidRPr="0089068B" w:rsidRDefault="006057F7" w:rsidP="00D72951">
            <w:pPr>
              <w:keepNext/>
              <w:jc w:val="right"/>
            </w:pPr>
            <w:r>
              <w:t>Funding:</w:t>
            </w:r>
          </w:p>
        </w:tc>
        <w:tc>
          <w:tcPr>
            <w:tcW w:w="5580" w:type="dxa"/>
          </w:tcPr>
          <w:p w14:paraId="173B7A36" w14:textId="77777777" w:rsidR="006057F7" w:rsidRDefault="006057F7">
            <w:pPr>
              <w:keepNext/>
              <w:rPr>
                <w:i/>
              </w:rPr>
            </w:pPr>
            <w:r>
              <w:rPr>
                <w:i/>
              </w:rPr>
              <w:t>&lt;Indicate “None” if there is none.&gt;</w:t>
            </w:r>
          </w:p>
        </w:tc>
      </w:tr>
      <w:tr w:rsidR="006057F7" w:rsidRPr="0089068B" w14:paraId="4E5A64A0" w14:textId="77777777" w:rsidTr="006057F7">
        <w:tc>
          <w:tcPr>
            <w:tcW w:w="2705" w:type="dxa"/>
          </w:tcPr>
          <w:p w14:paraId="37988FF5" w14:textId="77777777" w:rsidR="006057F7" w:rsidRPr="0089068B" w:rsidRDefault="006057F7" w:rsidP="00D72951">
            <w:pPr>
              <w:keepNext/>
              <w:jc w:val="right"/>
            </w:pPr>
            <w:r w:rsidRPr="0089068B">
              <w:t>Grant Title:</w:t>
            </w:r>
          </w:p>
        </w:tc>
        <w:tc>
          <w:tcPr>
            <w:tcW w:w="5485" w:type="dxa"/>
          </w:tcPr>
          <w:p w14:paraId="72D772C2" w14:textId="77777777" w:rsidR="006057F7" w:rsidRDefault="006057F7">
            <w:pPr>
              <w:keepNext/>
              <w:rPr>
                <w:i/>
              </w:rPr>
            </w:pPr>
            <w:r>
              <w:rPr>
                <w:i/>
              </w:rPr>
              <w:t>&lt;Indicate “None” if there is none.&gt;</w:t>
            </w:r>
          </w:p>
        </w:tc>
      </w:tr>
      <w:tr w:rsidR="00EE4DDD" w:rsidRPr="0089068B" w14:paraId="349FDDD8" w14:textId="77777777" w:rsidTr="006057F7">
        <w:tc>
          <w:tcPr>
            <w:tcW w:w="2705" w:type="dxa"/>
          </w:tcPr>
          <w:p w14:paraId="7CD33A8B" w14:textId="77777777" w:rsidR="00EE4DDD" w:rsidRPr="0089068B" w:rsidRDefault="00EE4DDD" w:rsidP="00D72951">
            <w:pPr>
              <w:keepNext/>
              <w:jc w:val="right"/>
            </w:pPr>
            <w:r w:rsidRPr="0089068B">
              <w:t>Grant ID:</w:t>
            </w:r>
          </w:p>
        </w:tc>
        <w:tc>
          <w:tcPr>
            <w:tcW w:w="5485" w:type="dxa"/>
          </w:tcPr>
          <w:p w14:paraId="4E79E054" w14:textId="77777777" w:rsidR="00EE4DDD" w:rsidRPr="0089068B" w:rsidRDefault="00EE4DDD" w:rsidP="00D72951">
            <w:pPr>
              <w:keepNext/>
              <w:rPr>
                <w:i/>
              </w:rPr>
            </w:pPr>
            <w:r w:rsidRPr="0089068B">
              <w:rPr>
                <w:i/>
              </w:rPr>
              <w:t>&lt;Indicate “None” if there is none.&gt;</w:t>
            </w:r>
          </w:p>
        </w:tc>
      </w:tr>
      <w:tr w:rsidR="00EE4DDD" w:rsidRPr="0089068B" w14:paraId="08BCC9F4" w14:textId="77777777" w:rsidTr="006057F7">
        <w:tc>
          <w:tcPr>
            <w:tcW w:w="2705" w:type="dxa"/>
          </w:tcPr>
          <w:p w14:paraId="740E6D73" w14:textId="77777777" w:rsidR="00EE4DDD" w:rsidRPr="0089068B" w:rsidRDefault="00EE4DDD" w:rsidP="00D72951">
            <w:pPr>
              <w:jc w:val="right"/>
            </w:pPr>
            <w:r>
              <w:t xml:space="preserve">IND, </w:t>
            </w:r>
            <w:r w:rsidRPr="0089068B">
              <w:t>IDE</w:t>
            </w:r>
            <w:r>
              <w:t xml:space="preserve"> or HDE</w:t>
            </w:r>
            <w:r w:rsidRPr="0089068B">
              <w:t>:</w:t>
            </w:r>
          </w:p>
        </w:tc>
        <w:tc>
          <w:tcPr>
            <w:tcW w:w="5485" w:type="dxa"/>
          </w:tcPr>
          <w:p w14:paraId="6889C7A4" w14:textId="77777777" w:rsidR="00EE4DDD" w:rsidRPr="0089068B" w:rsidRDefault="00EE4DDD" w:rsidP="00D72951">
            <w:pPr>
              <w:keepNext/>
              <w:rPr>
                <w:i/>
              </w:rPr>
            </w:pPr>
            <w:r w:rsidRPr="0089068B">
              <w:rPr>
                <w:i/>
              </w:rPr>
              <w:t>&lt;Indicate “None” if there is none.&gt;</w:t>
            </w:r>
          </w:p>
        </w:tc>
      </w:tr>
      <w:tr w:rsidR="00EE4DDD" w:rsidRPr="0089068B" w14:paraId="79E2BD22" w14:textId="77777777" w:rsidTr="006057F7">
        <w:tc>
          <w:tcPr>
            <w:tcW w:w="2705" w:type="dxa"/>
          </w:tcPr>
          <w:p w14:paraId="4D9C5448" w14:textId="77777777" w:rsidR="00EE4DDD" w:rsidRPr="0089068B" w:rsidRDefault="00BA0F3D" w:rsidP="00D72951">
            <w:pPr>
              <w:jc w:val="right"/>
            </w:pPr>
            <w:r>
              <w:t>Documents Reviewed:</w:t>
            </w:r>
          </w:p>
        </w:tc>
        <w:tc>
          <w:tcPr>
            <w:tcW w:w="5485" w:type="dxa"/>
          </w:tcPr>
          <w:p w14:paraId="015A224E" w14:textId="77777777" w:rsidR="00EE4DDD" w:rsidRPr="0089068B" w:rsidRDefault="00EE4DDD" w:rsidP="00D72951">
            <w:pPr>
              <w:keepNext/>
              <w:rPr>
                <w:i/>
              </w:rPr>
            </w:pPr>
          </w:p>
        </w:tc>
      </w:tr>
    </w:tbl>
    <w:p w14:paraId="0A7EC767" w14:textId="77777777" w:rsidR="00A11564" w:rsidRDefault="00C45A87" w:rsidP="00FF3DA6">
      <w:pPr>
        <w:spacing w:before="240" w:after="240"/>
      </w:pPr>
      <w:r>
        <w:t>T</w:t>
      </w:r>
      <w:r w:rsidRPr="00102D67">
        <w:t xml:space="preserve">he IRB determined that the proposed activity is not research </w:t>
      </w:r>
      <w:r w:rsidR="006B29DE">
        <w:t xml:space="preserve">involving </w:t>
      </w:r>
      <w:r w:rsidR="006B29DE" w:rsidRPr="00102D67">
        <w:t>human</w:t>
      </w:r>
      <w:r w:rsidR="006B29DE">
        <w:t xml:space="preserve"> subjects</w:t>
      </w:r>
      <w:r w:rsidR="006B29DE" w:rsidRPr="00102D67">
        <w:t xml:space="preserve"> </w:t>
      </w:r>
      <w:r w:rsidRPr="00102D67">
        <w:t>as defined by DHHS and FDA regulations</w:t>
      </w:r>
      <w:r>
        <w:t>.</w:t>
      </w:r>
    </w:p>
    <w:p w14:paraId="3CB477C9" w14:textId="77777777" w:rsidR="00C45A87" w:rsidRPr="00102D67" w:rsidRDefault="00C45A87" w:rsidP="00C45A87">
      <w:r w:rsidRPr="00102D67">
        <w:rPr>
          <w:i/>
        </w:rPr>
        <w:t>&lt;or&gt;</w:t>
      </w:r>
    </w:p>
    <w:p w14:paraId="72642ACA" w14:textId="77777777" w:rsidR="00A11564" w:rsidRDefault="00C45A87" w:rsidP="00FF3DA6">
      <w:pPr>
        <w:spacing w:before="240" w:after="240"/>
      </w:pPr>
      <w:r>
        <w:t>T</w:t>
      </w:r>
      <w:r w:rsidRPr="00102D67">
        <w:t xml:space="preserve">he IRB determined that the proposed activity is </w:t>
      </w:r>
      <w:r w:rsidR="00EF6F12">
        <w:t>research</w:t>
      </w:r>
      <w:r w:rsidRPr="00102D67">
        <w:t xml:space="preserve"> </w:t>
      </w:r>
      <w:r w:rsidR="006B29DE">
        <w:t xml:space="preserve">involving human subjects </w:t>
      </w:r>
      <w:r w:rsidRPr="00102D67">
        <w:t xml:space="preserve">as defined by </w:t>
      </w:r>
      <w:r w:rsidRPr="00102D67">
        <w:rPr>
          <w:i/>
        </w:rPr>
        <w:t>&lt;DHHS/FDA/both DHHS and FDA&gt;</w:t>
      </w:r>
      <w:r w:rsidRPr="00102D67">
        <w:t xml:space="preserve"> regulations but that this organization is not engaged in the research</w:t>
      </w:r>
      <w:r>
        <w:t>.</w:t>
      </w:r>
    </w:p>
    <w:p w14:paraId="07CA803F" w14:textId="77777777" w:rsidR="00A11564" w:rsidRDefault="00B34E47" w:rsidP="00A11564">
      <w:pPr>
        <w:spacing w:after="240"/>
      </w:pPr>
      <w:r w:rsidRPr="00102D67">
        <w:t>IRB review and approval</w:t>
      </w:r>
      <w:r w:rsidR="00E90F07" w:rsidRPr="00102D67">
        <w:t xml:space="preserve"> </w:t>
      </w:r>
      <w:r w:rsidR="00814514" w:rsidRPr="00102D67">
        <w:t xml:space="preserve">by this organization </w:t>
      </w:r>
      <w:r w:rsidR="00E90F07" w:rsidRPr="00102D67">
        <w:t xml:space="preserve">is not required. This determination applies only to the activities described in the IRB submission and does not apply should any changes be made. </w:t>
      </w:r>
      <w:r w:rsidR="00C91CA6" w:rsidRPr="00102D67">
        <w:t xml:space="preserve">If changes are made and there are questions about whether these activities are </w:t>
      </w:r>
      <w:r w:rsidR="00EF6F12" w:rsidRPr="00102D67">
        <w:t>research</w:t>
      </w:r>
      <w:r w:rsidR="00EF6F12">
        <w:t xml:space="preserve"> </w:t>
      </w:r>
      <w:r w:rsidR="00863AB3">
        <w:t xml:space="preserve">involving human </w:t>
      </w:r>
      <w:r w:rsidR="00EF6F12">
        <w:t>in which the organization is engaged</w:t>
      </w:r>
      <w:r w:rsidR="00C91CA6" w:rsidRPr="00102D67">
        <w:t>, please submit a new request to the IRB for a determination.</w:t>
      </w:r>
    </w:p>
    <w:p w14:paraId="7EA6A3E9" w14:textId="77777777" w:rsidR="00A11564" w:rsidRDefault="00D53F11" w:rsidP="00A11564">
      <w:pPr>
        <w:spacing w:after="720"/>
      </w:pPr>
      <w:r w:rsidRPr="00102D67">
        <w:t>Sincerely,</w:t>
      </w:r>
    </w:p>
    <w:p w14:paraId="59EB163B" w14:textId="77777777" w:rsidR="00A11564" w:rsidRDefault="00D53F11" w:rsidP="00A11564">
      <w:pPr>
        <w:spacing w:after="240"/>
      </w:pPr>
      <w:r w:rsidRPr="00102D67">
        <w:lastRenderedPageBreak/>
        <w:t>IRB Manager</w:t>
      </w:r>
    </w:p>
    <w:p w14:paraId="2AC0C78D" w14:textId="77777777" w:rsidR="00E04112" w:rsidRPr="00102D67" w:rsidRDefault="00D53F11" w:rsidP="00E04112">
      <w:pPr>
        <w:ind w:left="720" w:hanging="720"/>
        <w:rPr>
          <w:i/>
        </w:rPr>
      </w:pPr>
      <w:r w:rsidRPr="00102D67">
        <w:t>cc:</w:t>
      </w:r>
      <w:r w:rsidRPr="00102D67">
        <w:tab/>
      </w:r>
      <w:r w:rsidR="00E04112" w:rsidRPr="00102D67">
        <w:rPr>
          <w:i/>
        </w:rPr>
        <w:t>&lt;Protocol Contact&gt;</w:t>
      </w:r>
    </w:p>
    <w:p w14:paraId="40B43833" w14:textId="7561BB53" w:rsidR="009E419E" w:rsidRPr="0074389E" w:rsidRDefault="009E419E" w:rsidP="00BB0667">
      <w:pPr>
        <w:ind w:left="1440" w:hanging="720"/>
        <w:rPr>
          <w:i/>
          <w:color w:val="F898A6"/>
        </w:rPr>
      </w:pPr>
    </w:p>
    <w:sectPr w:rsidR="009E419E" w:rsidRPr="0074389E" w:rsidSect="000A493A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47AD4" w14:textId="77777777" w:rsidR="00501927" w:rsidRDefault="00501927">
      <w:r>
        <w:separator/>
      </w:r>
    </w:p>
  </w:endnote>
  <w:endnote w:type="continuationSeparator" w:id="0">
    <w:p w14:paraId="1B834B6B" w14:textId="77777777" w:rsidR="00501927" w:rsidRDefault="00501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A4EB9" w14:textId="77777777" w:rsidR="003C21C8" w:rsidRDefault="003C21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ABCA2" w14:textId="7F58168D" w:rsidR="00EF6F12" w:rsidRDefault="00EF6F12">
    <w:pPr>
      <w:pStyle w:val="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F36FC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F36F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  <w:sz w:val="16"/>
        <w:szCs w:val="16"/>
      </w:rPr>
      <w:tab/>
      <w:t xml:space="preserve">Template Revision: </w:t>
    </w:r>
    <w:r w:rsidR="003C21C8">
      <w:rPr>
        <w:rStyle w:val="PageNumber"/>
        <w:sz w:val="16"/>
        <w:szCs w:val="16"/>
      </w:rPr>
      <w:t>July 1,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30A0D" w14:textId="77777777" w:rsidR="003C21C8" w:rsidRDefault="003C21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F31A8" w14:textId="77777777" w:rsidR="00501927" w:rsidRDefault="00501927">
      <w:r>
        <w:separator/>
      </w:r>
    </w:p>
  </w:footnote>
  <w:footnote w:type="continuationSeparator" w:id="0">
    <w:p w14:paraId="6C60C89D" w14:textId="77777777" w:rsidR="00501927" w:rsidRDefault="00501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9346E" w14:textId="77777777" w:rsidR="003C21C8" w:rsidRDefault="003C21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6B457" w14:textId="77777777" w:rsidR="003C21C8" w:rsidRDefault="003C21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C8241" w14:textId="77777777" w:rsidR="003C21C8" w:rsidRDefault="003C21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E05C1"/>
    <w:multiLevelType w:val="hybridMultilevel"/>
    <w:tmpl w:val="CD745830"/>
    <w:lvl w:ilvl="0" w:tplc="333879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524044"/>
    <w:multiLevelType w:val="hybridMultilevel"/>
    <w:tmpl w:val="6D8E6DB6"/>
    <w:lvl w:ilvl="0" w:tplc="333879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B2D"/>
    <w:rsid w:val="0004476C"/>
    <w:rsid w:val="00052A9D"/>
    <w:rsid w:val="00061F09"/>
    <w:rsid w:val="00061F18"/>
    <w:rsid w:val="00062809"/>
    <w:rsid w:val="0007111A"/>
    <w:rsid w:val="000761CA"/>
    <w:rsid w:val="00087D2E"/>
    <w:rsid w:val="00094711"/>
    <w:rsid w:val="00097A91"/>
    <w:rsid w:val="000A4135"/>
    <w:rsid w:val="000A493A"/>
    <w:rsid w:val="000B76EE"/>
    <w:rsid w:val="000D7F3F"/>
    <w:rsid w:val="00102D67"/>
    <w:rsid w:val="00131016"/>
    <w:rsid w:val="0013498E"/>
    <w:rsid w:val="00167864"/>
    <w:rsid w:val="00180C4D"/>
    <w:rsid w:val="00191C13"/>
    <w:rsid w:val="001A7279"/>
    <w:rsid w:val="001B56EF"/>
    <w:rsid w:val="001C41B4"/>
    <w:rsid w:val="001D4979"/>
    <w:rsid w:val="001E18E5"/>
    <w:rsid w:val="001F73C6"/>
    <w:rsid w:val="002310A5"/>
    <w:rsid w:val="00261127"/>
    <w:rsid w:val="00282D1E"/>
    <w:rsid w:val="002A00F4"/>
    <w:rsid w:val="002E795B"/>
    <w:rsid w:val="00303D4D"/>
    <w:rsid w:val="00312931"/>
    <w:rsid w:val="003130C2"/>
    <w:rsid w:val="003178F0"/>
    <w:rsid w:val="00377C62"/>
    <w:rsid w:val="00391452"/>
    <w:rsid w:val="003C21C8"/>
    <w:rsid w:val="003D0B77"/>
    <w:rsid w:val="003D4237"/>
    <w:rsid w:val="003E0E3B"/>
    <w:rsid w:val="00401911"/>
    <w:rsid w:val="004265CA"/>
    <w:rsid w:val="00432C07"/>
    <w:rsid w:val="00442527"/>
    <w:rsid w:val="00444137"/>
    <w:rsid w:val="004538EA"/>
    <w:rsid w:val="00454D2F"/>
    <w:rsid w:val="004931A8"/>
    <w:rsid w:val="004939CB"/>
    <w:rsid w:val="00496191"/>
    <w:rsid w:val="004B2D62"/>
    <w:rsid w:val="004B41FC"/>
    <w:rsid w:val="004E3A88"/>
    <w:rsid w:val="004E5813"/>
    <w:rsid w:val="00501927"/>
    <w:rsid w:val="00567473"/>
    <w:rsid w:val="00594E32"/>
    <w:rsid w:val="005F2387"/>
    <w:rsid w:val="00601E8C"/>
    <w:rsid w:val="006057F7"/>
    <w:rsid w:val="00644336"/>
    <w:rsid w:val="00647F35"/>
    <w:rsid w:val="006734BD"/>
    <w:rsid w:val="0067500E"/>
    <w:rsid w:val="006A03E1"/>
    <w:rsid w:val="006B29DE"/>
    <w:rsid w:val="006F2896"/>
    <w:rsid w:val="006F36FC"/>
    <w:rsid w:val="00707CBC"/>
    <w:rsid w:val="007246B6"/>
    <w:rsid w:val="00732F05"/>
    <w:rsid w:val="0074389E"/>
    <w:rsid w:val="0076450D"/>
    <w:rsid w:val="007B0B45"/>
    <w:rsid w:val="007E46F3"/>
    <w:rsid w:val="007F7C69"/>
    <w:rsid w:val="00814514"/>
    <w:rsid w:val="00850FFB"/>
    <w:rsid w:val="00863AB3"/>
    <w:rsid w:val="00865DC4"/>
    <w:rsid w:val="00867A45"/>
    <w:rsid w:val="00886C10"/>
    <w:rsid w:val="008907CA"/>
    <w:rsid w:val="00891B60"/>
    <w:rsid w:val="00892871"/>
    <w:rsid w:val="008A0B2E"/>
    <w:rsid w:val="008D43AD"/>
    <w:rsid w:val="008E340A"/>
    <w:rsid w:val="008F75E7"/>
    <w:rsid w:val="00902FEE"/>
    <w:rsid w:val="00931357"/>
    <w:rsid w:val="0093543B"/>
    <w:rsid w:val="00940EB7"/>
    <w:rsid w:val="0097657F"/>
    <w:rsid w:val="009C3B0B"/>
    <w:rsid w:val="009C5FCA"/>
    <w:rsid w:val="009E03A3"/>
    <w:rsid w:val="009E419E"/>
    <w:rsid w:val="00A11564"/>
    <w:rsid w:val="00A203E7"/>
    <w:rsid w:val="00A37F35"/>
    <w:rsid w:val="00A61B2D"/>
    <w:rsid w:val="00A62AF4"/>
    <w:rsid w:val="00A674D8"/>
    <w:rsid w:val="00A86F86"/>
    <w:rsid w:val="00AC3A42"/>
    <w:rsid w:val="00AD7A10"/>
    <w:rsid w:val="00B0602E"/>
    <w:rsid w:val="00B06C6D"/>
    <w:rsid w:val="00B22381"/>
    <w:rsid w:val="00B34E47"/>
    <w:rsid w:val="00B40A6B"/>
    <w:rsid w:val="00B434CA"/>
    <w:rsid w:val="00B50281"/>
    <w:rsid w:val="00B67031"/>
    <w:rsid w:val="00BA0F3D"/>
    <w:rsid w:val="00BB0667"/>
    <w:rsid w:val="00BC0A96"/>
    <w:rsid w:val="00BD595F"/>
    <w:rsid w:val="00BE7F52"/>
    <w:rsid w:val="00C05501"/>
    <w:rsid w:val="00C25824"/>
    <w:rsid w:val="00C322F2"/>
    <w:rsid w:val="00C45A87"/>
    <w:rsid w:val="00C8481E"/>
    <w:rsid w:val="00C9179A"/>
    <w:rsid w:val="00C91CA6"/>
    <w:rsid w:val="00CA18A9"/>
    <w:rsid w:val="00CA3C13"/>
    <w:rsid w:val="00CA75CB"/>
    <w:rsid w:val="00CD1E02"/>
    <w:rsid w:val="00CF1B62"/>
    <w:rsid w:val="00D017F4"/>
    <w:rsid w:val="00D06B86"/>
    <w:rsid w:val="00D53F11"/>
    <w:rsid w:val="00D602D0"/>
    <w:rsid w:val="00D72951"/>
    <w:rsid w:val="00D84BD2"/>
    <w:rsid w:val="00D96896"/>
    <w:rsid w:val="00DA43D1"/>
    <w:rsid w:val="00DB564D"/>
    <w:rsid w:val="00DC13C6"/>
    <w:rsid w:val="00DC5431"/>
    <w:rsid w:val="00DF763E"/>
    <w:rsid w:val="00E04112"/>
    <w:rsid w:val="00E10272"/>
    <w:rsid w:val="00E137BD"/>
    <w:rsid w:val="00E45A10"/>
    <w:rsid w:val="00E508EA"/>
    <w:rsid w:val="00E7149F"/>
    <w:rsid w:val="00E774CC"/>
    <w:rsid w:val="00E90F07"/>
    <w:rsid w:val="00E94E50"/>
    <w:rsid w:val="00EA5686"/>
    <w:rsid w:val="00EA6E7B"/>
    <w:rsid w:val="00EB4D3E"/>
    <w:rsid w:val="00ED2460"/>
    <w:rsid w:val="00EE0A1D"/>
    <w:rsid w:val="00EE1B50"/>
    <w:rsid w:val="00EE4DDD"/>
    <w:rsid w:val="00EE6F9D"/>
    <w:rsid w:val="00EF6F12"/>
    <w:rsid w:val="00F02A99"/>
    <w:rsid w:val="00F2071F"/>
    <w:rsid w:val="00F40E30"/>
    <w:rsid w:val="00F44E9F"/>
    <w:rsid w:val="00F51385"/>
    <w:rsid w:val="00F76DE8"/>
    <w:rsid w:val="00F846FB"/>
    <w:rsid w:val="00F9455D"/>
    <w:rsid w:val="00FD79E6"/>
    <w:rsid w:val="00FF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5BE987E"/>
  <w15:docId w15:val="{52187DA6-C06C-420B-95C4-6EB39C00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49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D497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D4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601E8C"/>
    <w:rPr>
      <w:sz w:val="20"/>
      <w:szCs w:val="20"/>
    </w:rPr>
  </w:style>
  <w:style w:type="character" w:styleId="FootnoteReference">
    <w:name w:val="footnote reference"/>
    <w:semiHidden/>
    <w:rsid w:val="00601E8C"/>
    <w:rPr>
      <w:vertAlign w:val="superscript"/>
    </w:rPr>
  </w:style>
  <w:style w:type="character" w:styleId="Hyperlink">
    <w:name w:val="Hyperlink"/>
    <w:rsid w:val="00B0602E"/>
    <w:rPr>
      <w:color w:val="0000FF"/>
      <w:u w:val="single"/>
    </w:rPr>
  </w:style>
  <w:style w:type="character" w:styleId="PageNumber">
    <w:name w:val="page number"/>
    <w:basedOn w:val="DefaultParagraphFont"/>
    <w:rsid w:val="00DF763E"/>
  </w:style>
  <w:style w:type="paragraph" w:customStyle="1" w:styleId="ChecklistFooter">
    <w:name w:val="Checklist Footer"/>
    <w:basedOn w:val="Normal"/>
    <w:rsid w:val="00097A91"/>
    <w:pPr>
      <w:jc w:val="center"/>
    </w:pPr>
    <w:rPr>
      <w:rFonts w:ascii="Arial Narrow" w:hAnsi="Arial Narrow"/>
      <w:sz w:val="18"/>
    </w:rPr>
  </w:style>
  <w:style w:type="paragraph" w:customStyle="1" w:styleId="SOPFooter">
    <w:name w:val="SOP Footer"/>
    <w:basedOn w:val="Normal"/>
    <w:rsid w:val="00432C07"/>
    <w:pPr>
      <w:jc w:val="center"/>
    </w:pPr>
    <w:rPr>
      <w:rFonts w:ascii="Arial" w:hAnsi="Arial" w:cs="Tahoma"/>
      <w:sz w:val="18"/>
      <w:szCs w:val="20"/>
    </w:rPr>
  </w:style>
  <w:style w:type="character" w:customStyle="1" w:styleId="FooterChar">
    <w:name w:val="Footer Char"/>
    <w:link w:val="Footer"/>
    <w:locked/>
    <w:rsid w:val="00F76DE8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LETTER: Not Human Research Determination</vt:lpstr>
    </vt:vector>
  </TitlesOfParts>
  <Manager>Huron Consulting Group, Inc.</Manager>
  <Company>Huron Consulting Group, Inc.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LETTER: Not Human Research Determination</dc:title>
  <dc:subject>Huron HRPP ToolKit 2.0</dc:subject>
  <dc:creator>Huron Consulting Group, Inc.</dc:creator>
  <cp:keywords>Huron, HRPP, SOP</cp:keywords>
  <dc:description>©2009-2014 Huron Consulting Services, LLC. Use and distribution subject to End User License Agreement at http://www.huronconsultinggroup.com/SOP</dc:description>
  <cp:lastModifiedBy>Thomas Bechert</cp:lastModifiedBy>
  <cp:revision>13</cp:revision>
  <cp:lastPrinted>2013-10-24T18:52:00Z</cp:lastPrinted>
  <dcterms:created xsi:type="dcterms:W3CDTF">2013-10-24T18:54:00Z</dcterms:created>
  <dcterms:modified xsi:type="dcterms:W3CDTF">2019-07-01T17:37:00Z</dcterms:modified>
  <cp:category>TEMPLATE LETTER</cp:category>
</cp:coreProperties>
</file>